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50" w:rsidRPr="00204DF0" w:rsidRDefault="00D23450" w:rsidP="00D23450">
      <w:pPr>
        <w:jc w:val="center"/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</w:pPr>
      <w:r w:rsidRPr="00204DF0"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  <w:t>Zmiany z dnia 10.07.2018r. naniesiono kolorem czerwonym.</w:t>
      </w:r>
    </w:p>
    <w:p w:rsidR="00010E39" w:rsidRDefault="004836F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Pakiet nr 1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010E39" w:rsidRDefault="00010E39">
      <w:pPr>
        <w:rPr>
          <w:rFonts w:ascii="Arial" w:eastAsia="Arial" w:hAnsi="Arial" w:cs="Arial"/>
          <w:b/>
          <w:bCs/>
          <w:sz w:val="22"/>
          <w:szCs w:val="22"/>
        </w:rPr>
      </w:pP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:rsidR="00010E39" w:rsidRDefault="004836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PODGRZEWACZ PRZEPŁYWOWY DO  PŁYNÓW INFUZYJNYCH- 2szt.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siatki1jasnaakcent11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3"/>
        <w:gridCol w:w="3015"/>
        <w:gridCol w:w="2924"/>
      </w:tblGrid>
      <w:tr w:rsidR="00010E39" w:rsidTr="0001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Podać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0E39" w:rsidTr="0001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0E39" w:rsidTr="0001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0E39" w:rsidTr="0001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10E39" w:rsidRDefault="00010E39">
      <w:pPr>
        <w:rPr>
          <w:rFonts w:ascii="Arial" w:hAnsi="Arial" w:cs="Arial"/>
          <w:b/>
          <w:bCs/>
          <w:sz w:val="22"/>
          <w:szCs w:val="22"/>
        </w:rPr>
      </w:pPr>
    </w:p>
    <w:p w:rsidR="00010E39" w:rsidRDefault="00010E39">
      <w:pPr>
        <w:rPr>
          <w:rFonts w:ascii="Arial" w:hAnsi="Arial" w:cs="Arial"/>
          <w:b/>
          <w:bCs/>
          <w:sz w:val="22"/>
          <w:szCs w:val="22"/>
        </w:rPr>
      </w:pPr>
    </w:p>
    <w:p w:rsidR="00010E39" w:rsidRDefault="004836FF">
      <w:pPr>
        <w:jc w:val="both"/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  <w:t>PARAMETRY GRANICZNE</w:t>
      </w:r>
    </w:p>
    <w:p w:rsidR="00010E39" w:rsidRDefault="004836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010E39" w:rsidRDefault="004836FF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010E39" w:rsidRDefault="004836FF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010E39" w:rsidRDefault="00010E39">
      <w:pPr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7"/>
        <w:gridCol w:w="2971"/>
        <w:gridCol w:w="1403"/>
        <w:gridCol w:w="1909"/>
        <w:gridCol w:w="2232"/>
      </w:tblGrid>
      <w:tr w:rsidR="00010E39">
        <w:tc>
          <w:tcPr>
            <w:tcW w:w="547" w:type="dxa"/>
            <w:shd w:val="clear" w:color="auto" w:fill="auto"/>
            <w:tcMar>
              <w:left w:w="103" w:type="dxa"/>
            </w:tcMar>
            <w:vAlign w:val="center"/>
          </w:tcPr>
          <w:p w:rsidR="00010E39" w:rsidRDefault="004836FF">
            <w:pPr>
              <w:suppressLineNumbers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03255186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od włączenia podgrzewacza do uzyskania temperatury 40° C nie więcej niż 20 sek.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Maksymalna szybkość przepływu przy której zagwarantowana jest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temperatura ogrzewania nie mniejsza niż 200ml/min 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&gt;300 ml/min- 5 pkt</w:t>
            </w:r>
          </w:p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200-300 ml/min- 3 pkt.</w:t>
            </w:r>
          </w:p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05595979"/>
            <w:bookmarkEnd w:id="1"/>
            <w:r>
              <w:rPr>
                <w:rFonts w:ascii="Arial" w:hAnsi="Arial" w:cs="Arial"/>
                <w:sz w:val="22"/>
                <w:szCs w:val="22"/>
              </w:rPr>
              <w:lastRenderedPageBreak/>
              <w:t>&lt;200 ml/min-0 pkt.</w:t>
            </w: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czujniki zabezpieczające przed przegrzaniem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Sygnał wizualny i dźwiękowy informujące o temperaturze ogrzewanego płynu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Sterylne wkłady jednorazowe z przedłużką do wkłucia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umieszczenia elementu grzejnego na ramieniu pacjenta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Pr="003C5A07" w:rsidRDefault="004836FF" w:rsidP="004836FF">
            <w:pPr>
              <w:rPr>
                <w:rFonts w:ascii="Arial" w:hAnsi="Arial" w:cs="Arial"/>
                <w:sz w:val="22"/>
                <w:szCs w:val="24"/>
              </w:rPr>
            </w:pPr>
            <w:r w:rsidRPr="003C5A07">
              <w:rPr>
                <w:rFonts w:ascii="Arial" w:hAnsi="Arial" w:cs="Arial"/>
                <w:sz w:val="22"/>
                <w:szCs w:val="24"/>
              </w:rPr>
              <w:t xml:space="preserve">Opinia Instytutu Hematologii i Transfuzjologii </w:t>
            </w:r>
            <w:r w:rsidR="00D23450">
              <w:rPr>
                <w:rFonts w:ascii="Arial" w:hAnsi="Arial" w:cs="Arial"/>
                <w:b/>
                <w:color w:val="FF0000"/>
                <w:sz w:val="22"/>
                <w:szCs w:val="24"/>
              </w:rPr>
              <w:t xml:space="preserve">lub równoważna </w:t>
            </w:r>
            <w:r w:rsidRPr="003C5A07">
              <w:rPr>
                <w:rFonts w:ascii="Arial" w:hAnsi="Arial" w:cs="Arial"/>
                <w:sz w:val="22"/>
                <w:szCs w:val="24"/>
              </w:rPr>
              <w:t xml:space="preserve">potwierdzającą, że stosowanie podgrzewacza do przetaczania koncentratów krwinek czerwonych nie wpływa na zmianę ich parametrów jakościowych oraz potwierdzająca bezpieczeństwo używania do ogrzewania krwi przy transfuzji 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Pr="003C5A07" w:rsidRDefault="004836FF">
            <w:pPr>
              <w:rPr>
                <w:rFonts w:ascii="Arial" w:hAnsi="Arial" w:cs="Arial"/>
                <w:sz w:val="22"/>
                <w:szCs w:val="22"/>
              </w:rPr>
            </w:pPr>
            <w:r w:rsidRPr="003C5A07">
              <w:rPr>
                <w:rFonts w:ascii="Arial" w:hAnsi="Arial" w:cs="Arial"/>
                <w:sz w:val="22"/>
                <w:szCs w:val="22"/>
              </w:rPr>
              <w:t xml:space="preserve">TAK ZAŁĄCZYĆ </w:t>
            </w:r>
          </w:p>
          <w:p w:rsidR="00010E39" w:rsidRPr="003C5A07" w:rsidRDefault="004836FF">
            <w:pPr>
              <w:rPr>
                <w:rFonts w:ascii="Arial" w:hAnsi="Arial" w:cs="Arial"/>
                <w:sz w:val="22"/>
                <w:szCs w:val="22"/>
              </w:rPr>
            </w:pPr>
            <w:r w:rsidRPr="003C5A07">
              <w:rPr>
                <w:rFonts w:ascii="Arial" w:hAnsi="Arial" w:cs="Arial"/>
                <w:sz w:val="22"/>
                <w:szCs w:val="22"/>
              </w:rPr>
              <w:t>Na wezwanie</w:t>
            </w:r>
          </w:p>
          <w:p w:rsidR="00010E39" w:rsidRPr="003C5A07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color w:val="CE181E"/>
                <w:sz w:val="22"/>
                <w:szCs w:val="24"/>
              </w:rPr>
            </w:pPr>
            <w:bookmarkStart w:id="2" w:name="__DdeLink__779_3039241606"/>
            <w:bookmarkEnd w:id="2"/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pStyle w:val="Nagwek"/>
              <w:jc w:val="both"/>
              <w:rPr>
                <w:rFonts w:ascii="Tahoma" w:hAnsi="Tahoma" w:cs="Tahoma"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Odporność na uszkodzenia mechaniczne określona w skali IPX min </w:t>
            </w:r>
            <w:r w:rsidRPr="003C5A07">
              <w:rPr>
                <w:rFonts w:ascii="Arial" w:hAnsi="Arial" w:cs="Arial"/>
                <w:sz w:val="22"/>
                <w:szCs w:val="22"/>
              </w:rPr>
              <w:t>6</w:t>
            </w:r>
            <w:r w:rsidRPr="003C5A07">
              <w:rPr>
                <w:rFonts w:ascii="Tahoma" w:hAnsi="Tahoma" w:cs="Tahoma"/>
                <w:bCs/>
                <w:sz w:val="20"/>
                <w:lang w:eastAsia="pl-PL"/>
              </w:rPr>
              <w:t xml:space="preserve"> jako wodoodporność i przeciwpyłowość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color w:val="CE181E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Dopuszczalna wilgotność względna podczas pracy co najmniej od 10% do 90%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Wymiary elementu grzejnego (kasety) nie więcej niż 13cm x 6cm x 3cm, (z tolerancją każdego z wymiarów </w:t>
            </w:r>
            <w:r w:rsidRPr="003C5A07">
              <w:rPr>
                <w:rFonts w:ascii="Arial" w:hAnsi="Arial" w:cs="Arial"/>
                <w:sz w:val="22"/>
                <w:szCs w:val="24"/>
              </w:rPr>
              <w:t>max. +/-10%)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Jeśli są wymagane - </w:t>
            </w:r>
            <w:r w:rsidRPr="005D429D">
              <w:rPr>
                <w:rFonts w:ascii="Arial" w:hAnsi="Arial" w:cs="Arial"/>
                <w:color w:val="auto"/>
                <w:sz w:val="22"/>
                <w:szCs w:val="22"/>
              </w:rPr>
              <w:t xml:space="preserve">dostarczyć 150 sztuk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wkładów do ogrzewania </w:t>
            </w:r>
          </w:p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–kompatybilnych z oferowanym podgrzewaczem 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TAK 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rPr>
          <w:trHeight w:val="933"/>
        </w:trPr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  <w:p w:rsidR="00010E39" w:rsidRDefault="004836FF">
            <w:pPr>
              <w:rPr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Wymiary jednostki kontrolującej nie więcej niż 23cm x 15cm x 9cm (z tolerancją każdego z wymiarów max. </w:t>
            </w:r>
            <w:r w:rsidRPr="003C5A07">
              <w:rPr>
                <w:rFonts w:ascii="Arial" w:hAnsi="Arial" w:cs="Arial"/>
                <w:sz w:val="22"/>
                <w:szCs w:val="24"/>
              </w:rPr>
              <w:t>+/-20%)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010E39" w:rsidRDefault="00010E39">
      <w:pPr>
        <w:rPr>
          <w:rFonts w:ascii="Arial" w:hAnsi="Arial" w:cs="Arial"/>
          <w:sz w:val="22"/>
          <w:szCs w:val="22"/>
        </w:rPr>
      </w:pP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>
        <w:rPr>
          <w:rFonts w:ascii="Arial" w:hAnsi="Arial" w:cs="Arial"/>
          <w:sz w:val="22"/>
          <w:szCs w:val="22"/>
        </w:rPr>
        <w:t>product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date</w:t>
      </w:r>
      <w:proofErr w:type="spellEnd"/>
      <w:r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:rsidR="00010E39" w:rsidRDefault="00010E39">
      <w:pPr>
        <w:rPr>
          <w:rFonts w:ascii="Arial" w:hAnsi="Arial" w:cs="Arial"/>
          <w:sz w:val="22"/>
          <w:szCs w:val="22"/>
        </w:rPr>
      </w:pP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010E39" w:rsidRDefault="00010E39">
      <w:pPr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65"/>
        <w:gridCol w:w="4556"/>
      </w:tblGrid>
      <w:tr w:rsidR="00010E39">
        <w:trPr>
          <w:trHeight w:val="675"/>
        </w:trPr>
        <w:tc>
          <w:tcPr>
            <w:tcW w:w="7167" w:type="dxa"/>
            <w:gridSpan w:val="3"/>
            <w:shd w:val="clear" w:color="auto" w:fill="auto"/>
            <w:vAlign w:val="center"/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10E39" w:rsidRDefault="004836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010E39">
        <w:trPr>
          <w:trHeight w:val="525"/>
        </w:trPr>
        <w:tc>
          <w:tcPr>
            <w:tcW w:w="126" w:type="dxa"/>
            <w:shd w:val="clear" w:color="auto" w:fill="auto"/>
          </w:tcPr>
          <w:p w:rsidR="00010E39" w:rsidRDefault="00010E39"/>
        </w:tc>
        <w:tc>
          <w:tcPr>
            <w:tcW w:w="2464" w:type="dxa"/>
            <w:shd w:val="clear" w:color="auto" w:fill="auto"/>
            <w:vAlign w:val="center"/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E39">
        <w:trPr>
          <w:trHeight w:val="525"/>
        </w:trPr>
        <w:tc>
          <w:tcPr>
            <w:tcW w:w="126" w:type="dxa"/>
            <w:shd w:val="clear" w:color="auto" w:fill="auto"/>
          </w:tcPr>
          <w:p w:rsidR="00010E39" w:rsidRDefault="00010E39"/>
        </w:tc>
        <w:tc>
          <w:tcPr>
            <w:tcW w:w="2464" w:type="dxa"/>
            <w:shd w:val="clear" w:color="auto" w:fill="auto"/>
            <w:vAlign w:val="center"/>
          </w:tcPr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E39">
        <w:trPr>
          <w:trHeight w:val="285"/>
        </w:trPr>
        <w:tc>
          <w:tcPr>
            <w:tcW w:w="126" w:type="dxa"/>
            <w:shd w:val="clear" w:color="auto" w:fill="auto"/>
          </w:tcPr>
          <w:p w:rsidR="00010E39" w:rsidRDefault="00010E39"/>
        </w:tc>
        <w:tc>
          <w:tcPr>
            <w:tcW w:w="2464" w:type="dxa"/>
            <w:shd w:val="clear" w:color="auto" w:fill="auto"/>
            <w:vAlign w:val="bottom"/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0E39" w:rsidRDefault="00010E39">
      <w:pPr>
        <w:rPr>
          <w:rFonts w:ascii="Arial" w:hAnsi="Arial" w:cs="Arial"/>
          <w:sz w:val="22"/>
          <w:szCs w:val="22"/>
        </w:rPr>
      </w:pPr>
    </w:p>
    <w:p w:rsidR="00010E39" w:rsidRDefault="00010E39">
      <w:pPr>
        <w:rPr>
          <w:rFonts w:ascii="Arial" w:hAnsi="Arial" w:cs="Arial"/>
          <w:sz w:val="22"/>
          <w:szCs w:val="22"/>
        </w:rPr>
      </w:pP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i pieczęć Wykonawcy)</w:t>
      </w:r>
    </w:p>
    <w:p w:rsidR="00010E39" w:rsidRDefault="004836FF" w:rsidP="00D23450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br w:type="page"/>
      </w:r>
    </w:p>
    <w:p w:rsidR="00010E39" w:rsidRDefault="004836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WARUNKI GWARANCJI I SERWISU OFEROWANEGO SPRZĘTU .</w:t>
      </w:r>
    </w:p>
    <w:p w:rsidR="00010E39" w:rsidRDefault="00010E3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893"/>
        <w:gridCol w:w="2127"/>
        <w:gridCol w:w="3053"/>
      </w:tblGrid>
      <w:tr w:rsidR="00010E39">
        <w:trPr>
          <w:trHeight w:val="309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PODGRZEWACZ PRZEPŁYWOWY DO  PŁYNÓW INFUZYJNYCH- 2szt.</w:t>
            </w:r>
          </w:p>
          <w:p w:rsidR="00010E39" w:rsidRDefault="00010E39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Wartość oferowana</w:t>
            </w:r>
          </w:p>
        </w:tc>
      </w:tr>
      <w:tr w:rsidR="00010E39">
        <w:trPr>
          <w:trHeight w:val="810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tabs>
                <w:tab w:val="left" w:pos="1295"/>
              </w:tabs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Okres gwarancji </w:t>
            </w: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na urządzenie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min. 24 miesiące, </w:t>
            </w:r>
          </w:p>
          <w:p w:rsidR="00010E39" w:rsidRDefault="004836FF">
            <w:pP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podać za każde kolejne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mcy</w:t>
            </w:r>
            <w:proofErr w:type="spellEnd"/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 –</w:t>
            </w:r>
            <w:r w:rsidR="003C5A07"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dodatkowe 5 pkt. (Maksymalnie 20 pkt.)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rPr>
          <w:trHeight w:val="1658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 w:rsidRPr="003C5A07">
              <w:rPr>
                <w:rFonts w:ascii="Arial" w:eastAsia="Tahoma" w:hAnsi="Arial" w:cs="Arial"/>
                <w:color w:val="auto"/>
                <w:kern w:val="2"/>
                <w:sz w:val="22"/>
                <w:szCs w:val="22"/>
                <w:lang w:eastAsia="pl-PL"/>
              </w:rPr>
              <w:t xml:space="preserve">Pełna gwarancyjna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obsługa serwisowa napraw (wraz z kosztem dojazdu, części zamiennych i robocizny), jeden bezpłatny przegląd w ciągu roku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rPr>
          <w:trHeight w:val="83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jc w:val="center"/>
              <w:rPr>
                <w:rFonts w:ascii="Arial" w:eastAsia="Andale Sans UI" w:hAnsi="Arial" w:cs="Arial"/>
                <w:color w:val="FF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a</w:t>
            </w:r>
            <w:r w:rsidRPr="003C5A07">
              <w:rPr>
                <w:rFonts w:ascii="Arial" w:eastAsia="Tahoma" w:hAnsi="Arial" w:cs="Arial"/>
                <w:color w:val="auto"/>
                <w:kern w:val="2"/>
                <w:sz w:val="22"/>
                <w:szCs w:val="22"/>
                <w:lang w:eastAsia="pl-PL"/>
              </w:rPr>
              <w:t xml:space="preserve">) 3 naprawy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tego samego elementu (podzespołu) – uprawniają do wymiany podzespołu na nowy  lub   </w:t>
            </w: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PROTOKÓŁ BEZPIECZEŃSTWA ELEKTRYCZNEGO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sprzętu zgodny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z normą PN-EN 62353</w:t>
            </w:r>
            <w:r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Świadectwo autoryzacji serwisu potwierdzone przez producenta urządzenia</w:t>
            </w:r>
            <w:r w:rsidRPr="003C5A07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.</w:t>
            </w:r>
            <w:r w:rsidRPr="003C5A07">
              <w:t xml:space="preserve"> </w:t>
            </w:r>
            <w:r w:rsidRPr="003C5A07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Zamawiający dopuszcza  </w:t>
            </w:r>
            <w:r w:rsidRPr="003C5A07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możliwość  złożenia  oświadczenia  Wykonawcy  dotyczące  zapewnienia  autoryzowanego  serwisu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TAK</w:t>
            </w:r>
          </w:p>
          <w:p w:rsidR="00010E39" w:rsidRDefault="004836FF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 HARMONOGRAM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lub załączyć do oferty pisemne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OŚWIADCZENIE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>lub równoważnym pod kątem bezpieczeństwa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>elektrycznego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Informacja, który z dokumentów (</w:t>
            </w:r>
            <w:r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  <w:t>KARTA KONTROLI</w:t>
            </w: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18.</w:t>
            </w:r>
          </w:p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na wezwanie Zamawiającego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 HARMONOGRAM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SZKOLENIE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w tym zakresie wraz z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WYDANIEM IMIENNEGO CERTYFIKATU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FF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harmonogramu pkt. 18 w języku polskim dokumentacja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serwisowo – techniczna zawierająca opis sposobu wykonania tych czynności przez służby techniczne zamawiającego – dostarczona w dniu dostawy.</w:t>
            </w:r>
          </w:p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010E39" w:rsidRDefault="00010E39">
      <w:pPr>
        <w:jc w:val="center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 w:rsidP="00BB5225">
      <w:pPr>
        <w:pStyle w:val="Tekstpodstawowy"/>
        <w:suppressAutoHyphens w:val="0"/>
        <w:spacing w:line="276" w:lineRule="auto"/>
        <w:ind w:left="805"/>
        <w:jc w:val="right"/>
        <w:rPr>
          <w:rFonts w:ascii="Tahoma" w:hAnsi="Tahoma"/>
          <w:b w:val="0"/>
          <w:sz w:val="18"/>
          <w:szCs w:val="18"/>
        </w:rPr>
      </w:pPr>
    </w:p>
    <w:p w:rsidR="00BB5225" w:rsidRDefault="00BB5225" w:rsidP="00BB5225">
      <w:pPr>
        <w:pStyle w:val="Tekstpodstawowy"/>
        <w:suppressAutoHyphens w:val="0"/>
        <w:spacing w:line="276" w:lineRule="auto"/>
        <w:ind w:left="805"/>
        <w:jc w:val="right"/>
        <w:rPr>
          <w:rFonts w:ascii="Tahoma" w:hAnsi="Tahoma"/>
          <w:b w:val="0"/>
          <w:sz w:val="18"/>
          <w:szCs w:val="18"/>
        </w:rPr>
      </w:pPr>
    </w:p>
    <w:p w:rsidR="00BB5225" w:rsidRDefault="00BB5225" w:rsidP="00BB5225">
      <w:pPr>
        <w:pStyle w:val="Tekstpodstawowy"/>
        <w:suppressAutoHyphens w:val="0"/>
        <w:spacing w:line="276" w:lineRule="auto"/>
        <w:ind w:left="805"/>
        <w:jc w:val="right"/>
        <w:rPr>
          <w:rFonts w:ascii="Tahoma" w:hAnsi="Tahoma"/>
          <w:b w:val="0"/>
          <w:sz w:val="18"/>
          <w:szCs w:val="18"/>
        </w:rPr>
      </w:pPr>
    </w:p>
    <w:p w:rsidR="00276150" w:rsidRDefault="00276150" w:rsidP="00276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276150" w:rsidRDefault="00276150" w:rsidP="00276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i pieczęć Wykonawcy)</w:t>
      </w: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D23450" w:rsidRDefault="00D23450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  <w:bookmarkStart w:id="3" w:name="_GoBack"/>
      <w:bookmarkEnd w:id="3"/>
    </w:p>
    <w:p w:rsidR="00010E39" w:rsidRDefault="004836FF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010E39" w:rsidRDefault="004836FF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-  pomiędzy zasilaniem a uziemieniem   (tak/nie)   .  .  .  .  .  wartość limitu   .  .  .  .  .  .  . MΩ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010E39" w:rsidRDefault="004836FF"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</w:t>
      </w:r>
    </w:p>
    <w:p w:rsidR="00010E39" w:rsidRDefault="004836FF">
      <w:r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:rsidR="00010E39" w:rsidRDefault="004836FF">
      <w:r>
        <w:rPr>
          <w:rFonts w:ascii="Tahoma" w:hAnsi="Tahoma" w:cs="Tahoma"/>
          <w:b/>
          <w:bCs/>
          <w:sz w:val="20"/>
        </w:rPr>
        <w:t xml:space="preserve">PODGRZEWACZ PRZEPŁYWOWY DO  PŁYNÓW INFUZYJNYCH- 2szt. 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Cena – max 60 % </w:t>
      </w:r>
    </w:p>
    <w:p w:rsidR="00010E39" w:rsidRDefault="004836FF">
      <w:pPr>
        <w:suppressAutoHyphens w:val="0"/>
      </w:pPr>
      <w:r>
        <w:rPr>
          <w:rFonts w:ascii="Tahoma" w:hAnsi="Tahoma" w:cs="Tahoma"/>
          <w:b/>
          <w:sz w:val="20"/>
        </w:rPr>
        <w:t>Oferowana cena brutto oferty: 60%</w:t>
      </w:r>
    </w:p>
    <w:p w:rsidR="00010E39" w:rsidRDefault="004836FF">
      <w:pPr>
        <w:suppressAutoHyphens w:val="0"/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010E39" w:rsidRDefault="00010E39">
      <w:pPr>
        <w:suppressAutoHyphens w:val="0"/>
        <w:rPr>
          <w:rFonts w:ascii="Tahoma" w:hAnsi="Tahoma" w:cs="Tahoma"/>
          <w:b/>
          <w:sz w:val="20"/>
        </w:rPr>
      </w:pPr>
    </w:p>
    <w:p w:rsidR="00010E39" w:rsidRDefault="00010E39">
      <w:pPr>
        <w:suppressAutoHyphens w:val="0"/>
        <w:rPr>
          <w:rFonts w:ascii="Tahoma" w:hAnsi="Tahoma" w:cs="Tahoma"/>
          <w:b/>
          <w:sz w:val="20"/>
        </w:rPr>
      </w:pPr>
    </w:p>
    <w:p w:rsidR="00010E39" w:rsidRDefault="004836FF">
      <w:pPr>
        <w:suppressAutoHyphens w:val="0"/>
        <w:ind w:left="2124" w:firstLine="708"/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:rsidR="00010E39" w:rsidRDefault="004836FF">
      <w:pPr>
        <w:suppressAutoHyphens w:val="0"/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010E39" w:rsidRDefault="004836FF">
      <w:pPr>
        <w:suppressAutoHyphens w:val="0"/>
        <w:ind w:left="2124" w:firstLine="708"/>
      </w:pPr>
      <w:r>
        <w:rPr>
          <w:rFonts w:ascii="Tahoma" w:hAnsi="Tahoma" w:cs="Tahoma"/>
          <w:b/>
          <w:sz w:val="20"/>
        </w:rPr>
        <w:t xml:space="preserve">oferta badana </w:t>
      </w:r>
    </w:p>
    <w:p w:rsidR="00010E39" w:rsidRDefault="00010E39">
      <w:pPr>
        <w:suppressAutoHyphens w:val="0"/>
        <w:rPr>
          <w:rFonts w:ascii="Tahoma" w:hAnsi="Tahoma" w:cs="Tahoma"/>
          <w:b/>
          <w:sz w:val="20"/>
        </w:rPr>
      </w:pPr>
    </w:p>
    <w:p w:rsidR="00010E39" w:rsidRDefault="00010E39">
      <w:pPr>
        <w:suppressAutoHyphens w:val="0"/>
        <w:rPr>
          <w:rFonts w:ascii="Tahoma" w:hAnsi="Tahoma" w:cs="Tahoma"/>
          <w:b/>
          <w:sz w:val="20"/>
        </w:rPr>
      </w:pPr>
    </w:p>
    <w:p w:rsidR="00010E39" w:rsidRDefault="004836FF">
      <w:pPr>
        <w:suppressAutoHyphens w:val="0"/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4836FF">
      <w:r>
        <w:rPr>
          <w:rFonts w:ascii="Tahoma" w:hAnsi="Tahoma" w:cs="Tahoma"/>
          <w:b/>
          <w:sz w:val="20"/>
        </w:rPr>
        <w:t xml:space="preserve">Parametry techniczne – max. 20% (możliwość zdobycia max. 5 pkt. przeliczanych wg. wzoru 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010E39" w:rsidRDefault="004836FF"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010E39" w:rsidRDefault="004836FF">
      <w:pPr>
        <w:ind w:left="708" w:firstLine="708"/>
      </w:pPr>
      <w:r>
        <w:rPr>
          <w:rFonts w:ascii="Tahoma" w:hAnsi="Tahoma" w:cs="Tahoma"/>
          <w:b/>
          <w:sz w:val="20"/>
        </w:rPr>
        <w:t>ramach danego kryterium (5pkt.)</w:t>
      </w: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4836FF">
      <w:pPr>
        <w:widowControl/>
        <w:numPr>
          <w:ilvl w:val="0"/>
          <w:numId w:val="1"/>
        </w:numPr>
      </w:pPr>
      <w:r>
        <w:rPr>
          <w:rFonts w:ascii="Tahoma" w:hAnsi="Tahoma" w:cs="Tahoma"/>
          <w:sz w:val="20"/>
        </w:rPr>
        <w:t>&gt;300 ml/min- 5 pkt</w:t>
      </w:r>
    </w:p>
    <w:p w:rsidR="00010E39" w:rsidRDefault="004836FF">
      <w:pPr>
        <w:widowControl/>
        <w:numPr>
          <w:ilvl w:val="0"/>
          <w:numId w:val="1"/>
        </w:numPr>
      </w:pPr>
      <w:r>
        <w:rPr>
          <w:rFonts w:ascii="Tahoma" w:hAnsi="Tahoma" w:cs="Tahoma"/>
          <w:sz w:val="20"/>
        </w:rPr>
        <w:t>200-300 ml/min- 3 pkt.</w:t>
      </w:r>
    </w:p>
    <w:p w:rsidR="00010E39" w:rsidRDefault="004836FF">
      <w:pPr>
        <w:widowControl/>
        <w:numPr>
          <w:ilvl w:val="0"/>
          <w:numId w:val="1"/>
        </w:numPr>
      </w:pPr>
      <w:r>
        <w:rPr>
          <w:rFonts w:ascii="Tahoma" w:hAnsi="Tahoma" w:cs="Tahoma"/>
          <w:sz w:val="20"/>
        </w:rPr>
        <w:t>&lt;200 ml/min-0 pkt.</w:t>
      </w: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4836FF">
      <w:r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4836FF"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010E39" w:rsidRDefault="004836FF">
      <w:r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                                 ramach danego kryterium (20pkt)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sectPr w:rsidR="00010E39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F6" w:rsidRDefault="002015F6">
      <w:r>
        <w:separator/>
      </w:r>
    </w:p>
  </w:endnote>
  <w:endnote w:type="continuationSeparator" w:id="0">
    <w:p w:rsidR="002015F6" w:rsidRDefault="0020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F6" w:rsidRDefault="002015F6">
      <w:r>
        <w:separator/>
      </w:r>
    </w:p>
  </w:footnote>
  <w:footnote w:type="continuationSeparator" w:id="0">
    <w:p w:rsidR="002015F6" w:rsidRDefault="0020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39" w:rsidRDefault="00723940" w:rsidP="00723940">
    <w:pPr>
      <w:pStyle w:val="Nagwek9"/>
      <w:jc w:val="right"/>
      <w:rPr>
        <w:bCs/>
        <w:sz w:val="24"/>
      </w:rPr>
    </w:pPr>
    <w:bookmarkStart w:id="4" w:name="_Hlk518476140"/>
    <w:r>
      <w:rPr>
        <w:bCs/>
        <w:sz w:val="24"/>
      </w:rPr>
      <w:t>ZAŁĄCZNIK NR 3 DO SIWZ</w:t>
    </w:r>
    <w:bookmarkEnd w:id="4"/>
    <w:r w:rsidR="004836FF">
      <w:rPr>
        <w:noProof/>
      </w:rPr>
      <w:drawing>
        <wp:inline distT="0" distB="0" distL="0" distR="0">
          <wp:extent cx="5761355" cy="7804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36FF">
      <w:rPr>
        <w:bCs/>
        <w:sz w:val="24"/>
      </w:rPr>
      <w:t xml:space="preserve"> </w:t>
    </w:r>
  </w:p>
  <w:p w:rsidR="00010E39" w:rsidRDefault="00010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3E8C"/>
    <w:multiLevelType w:val="multilevel"/>
    <w:tmpl w:val="5DCCE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321C2C"/>
    <w:multiLevelType w:val="multilevel"/>
    <w:tmpl w:val="027A5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39"/>
    <w:rsid w:val="00010E39"/>
    <w:rsid w:val="002015F6"/>
    <w:rsid w:val="00276150"/>
    <w:rsid w:val="00344856"/>
    <w:rsid w:val="003C5A07"/>
    <w:rsid w:val="004836FF"/>
    <w:rsid w:val="0048534A"/>
    <w:rsid w:val="005D429D"/>
    <w:rsid w:val="00723940"/>
    <w:rsid w:val="008A3A99"/>
    <w:rsid w:val="00920BAE"/>
    <w:rsid w:val="00BB5225"/>
    <w:rsid w:val="00D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17BF"/>
  <w15:docId w15:val="{809B3D4F-32CD-434A-84F9-A82E69CC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</w:pPr>
    <w:rPr>
      <w:rFonts w:ascii="Garamond" w:eastAsia="Times New Roman" w:hAnsi="Garamond" w:cs="Calibri"/>
      <w:color w:val="00000A"/>
      <w:sz w:val="24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6B96"/>
  </w:style>
  <w:style w:type="character" w:customStyle="1" w:styleId="StopkaZnak">
    <w:name w:val="Stopka Znak"/>
    <w:basedOn w:val="Domylnaczcionkaakapitu"/>
    <w:link w:val="Stopka"/>
    <w:uiPriority w:val="99"/>
    <w:qFormat/>
    <w:rsid w:val="007E6B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qFormat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ListLabel1">
    <w:name w:val="ListLabel 1"/>
    <w:qFormat/>
    <w:rPr>
      <w:rFonts w:cs="Times New Roman"/>
      <w:b/>
      <w:bCs/>
    </w:rPr>
  </w:style>
  <w:style w:type="character" w:customStyle="1" w:styleId="ListLabel2">
    <w:name w:val="ListLabel 2"/>
    <w:qFormat/>
    <w:rPr>
      <w:rFonts w:cs="Times New Roman"/>
      <w:b/>
      <w:bCs/>
    </w:rPr>
  </w:style>
  <w:style w:type="character" w:customStyle="1" w:styleId="ListLabel3">
    <w:name w:val="ListLabel 3"/>
    <w:qFormat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6B96"/>
    <w:rPr>
      <w:rFonts w:ascii="Tahoma" w:hAnsi="Tahoma" w:cs="Tahoma"/>
      <w:sz w:val="16"/>
      <w:szCs w:val="16"/>
    </w:rPr>
  </w:style>
  <w:style w:type="paragraph" w:customStyle="1" w:styleId="Domynie">
    <w:name w:val="Domy徑nie"/>
    <w:qFormat/>
    <w:rsid w:val="007E6B96"/>
    <w:pPr>
      <w:widowControl w:val="0"/>
    </w:pPr>
    <w:rPr>
      <w:rFonts w:ascii="Garamond" w:eastAsia="Times New Roman" w:hAnsi="Garamond" w:cs="Garamond"/>
      <w:color w:val="00000A"/>
      <w:kern w:val="2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qFormat/>
    <w:rsid w:val="007E6B96"/>
    <w:pPr>
      <w:widowControl/>
      <w:tabs>
        <w:tab w:val="left" w:pos="360"/>
      </w:tabs>
      <w:suppressAutoHyphens w:val="0"/>
      <w:ind w:left="360"/>
    </w:pPr>
    <w:rPr>
      <w:rFonts w:ascii="Arial" w:hAnsi="Arial" w:cs="Arial"/>
      <w:sz w:val="18"/>
      <w:lang w:eastAsia="en-US"/>
    </w:rPr>
  </w:style>
  <w:style w:type="paragraph" w:customStyle="1" w:styleId="Standard">
    <w:name w:val="Standard"/>
    <w:qFormat/>
    <w:rsid w:val="0097182D"/>
    <w:pPr>
      <w:suppressAutoHyphens/>
      <w:spacing w:after="160" w:line="252" w:lineRule="auto"/>
      <w:jc w:val="both"/>
    </w:pPr>
    <w:rPr>
      <w:rFonts w:ascii="Garamond" w:hAnsi="Garamond" w:cs="Garamond"/>
      <w:color w:val="00000A"/>
      <w:kern w:val="2"/>
      <w:sz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Siatkatabeli">
    <w:name w:val="Table Grid"/>
    <w:basedOn w:val="Standardowy"/>
    <w:uiPriority w:val="59"/>
    <w:rsid w:val="000808D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2F52-4003-4621-BE7D-EBA8F127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DE069-9118-4467-8D40-536041927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6B560-8F8E-4954-A002-F92DAFA34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4B33D-DCCF-45A8-B1C7-1A0FFA8C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dc:description/>
  <cp:lastModifiedBy>Radosław Jabłoński</cp:lastModifiedBy>
  <cp:revision>17</cp:revision>
  <cp:lastPrinted>2018-07-05T07:58:00Z</cp:lastPrinted>
  <dcterms:created xsi:type="dcterms:W3CDTF">2018-06-26T12:12:00Z</dcterms:created>
  <dcterms:modified xsi:type="dcterms:W3CDTF">2018-07-10T08:36:00Z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0x010100A3545A4C8D27824485B218462530902C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